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43" w:rsidRPr="005717A2" w:rsidRDefault="00405143" w:rsidP="00405143">
      <w:pPr>
        <w:spacing w:line="360" w:lineRule="auto"/>
        <w:rPr>
          <w:rFonts w:cs="Times New Roman"/>
          <w:b/>
          <w:szCs w:val="24"/>
        </w:rPr>
      </w:pPr>
      <w:bookmarkStart w:id="0" w:name="_GoBack"/>
      <w:bookmarkEnd w:id="0"/>
      <w:r w:rsidRPr="005717A2">
        <w:rPr>
          <w:rFonts w:cs="Times New Roman"/>
          <w:b/>
          <w:szCs w:val="24"/>
        </w:rPr>
        <w:t>2018 Tysk (teknisk tekst)</w:t>
      </w:r>
    </w:p>
    <w:p w:rsidR="00405143" w:rsidRPr="005717A2" w:rsidRDefault="00405143" w:rsidP="00405143">
      <w:pPr>
        <w:pBdr>
          <w:top w:val="single" w:sz="4" w:space="1" w:color="auto"/>
          <w:left w:val="single" w:sz="4" w:space="4" w:color="auto"/>
          <w:bottom w:val="single" w:sz="4" w:space="1" w:color="auto"/>
          <w:right w:val="single" w:sz="4" w:space="4" w:color="auto"/>
        </w:pBdr>
        <w:autoSpaceDE w:val="0"/>
        <w:autoSpaceDN w:val="0"/>
        <w:adjustRightInd w:val="0"/>
        <w:rPr>
          <w:rFonts w:cs="Times New Roman"/>
          <w:color w:val="1A1A18"/>
          <w:szCs w:val="24"/>
        </w:rPr>
      </w:pPr>
      <w:r w:rsidRPr="005717A2">
        <w:rPr>
          <w:rFonts w:cs="Times New Roman"/>
          <w:bCs/>
          <w:color w:val="17231D"/>
          <w:szCs w:val="24"/>
        </w:rPr>
        <w:t>Et oversettelsesvalg henger alltid tett sammen med vurderinger knyttet til det konkrete oversettelsesoppdraget (</w:t>
      </w:r>
      <w:r w:rsidRPr="005717A2">
        <w:rPr>
          <w:rFonts w:cs="Times New Roman"/>
          <w:bCs/>
          <w:i/>
          <w:color w:val="17231D"/>
          <w:szCs w:val="24"/>
        </w:rPr>
        <w:t>translation brief</w:t>
      </w:r>
      <w:r w:rsidRPr="005717A2">
        <w:rPr>
          <w:rFonts w:cs="Times New Roman"/>
          <w:bCs/>
          <w:color w:val="17231D"/>
          <w:szCs w:val="24"/>
        </w:rPr>
        <w:t xml:space="preserve">). Derfor følger her beskrivelsen av et tenkt oppdrag for oversettelsen av et utdrag fra </w:t>
      </w:r>
      <w:hyperlink r:id="rId4" w:history="1">
        <w:r w:rsidRPr="005717A2">
          <w:rPr>
            <w:rStyle w:val="Hyperlink"/>
            <w:rFonts w:cs="Times New Roman"/>
            <w:szCs w:val="24"/>
          </w:rPr>
          <w:t>https://www.din.de/blob/97246/c0cbb8df0581d171e1dc7674941fe409/technischer-leitfaden-ladeinfrastruktur-data.pdf</w:t>
        </w:r>
      </w:hyperlink>
    </w:p>
    <w:p w:rsidR="00405143" w:rsidRPr="005717A2" w:rsidRDefault="00405143" w:rsidP="00405143">
      <w:pPr>
        <w:pBdr>
          <w:top w:val="single" w:sz="4" w:space="1" w:color="auto"/>
          <w:left w:val="single" w:sz="4" w:space="4" w:color="auto"/>
          <w:bottom w:val="single" w:sz="4" w:space="1" w:color="auto"/>
          <w:right w:val="single" w:sz="4" w:space="4" w:color="auto"/>
        </w:pBdr>
        <w:autoSpaceDE w:val="0"/>
        <w:autoSpaceDN w:val="0"/>
        <w:adjustRightInd w:val="0"/>
        <w:rPr>
          <w:rFonts w:cs="Times New Roman"/>
          <w:bCs/>
          <w:color w:val="17231D"/>
          <w:szCs w:val="24"/>
        </w:rPr>
      </w:pPr>
    </w:p>
    <w:p w:rsidR="00405143" w:rsidRPr="005717A2" w:rsidRDefault="00405143" w:rsidP="00405143">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5717A2">
        <w:rPr>
          <w:rFonts w:cs="Times New Roman"/>
          <w:i/>
          <w:szCs w:val="24"/>
        </w:rPr>
        <w:t>Translation brief</w:t>
      </w:r>
      <w:r w:rsidRPr="005717A2">
        <w:rPr>
          <w:rFonts w:cs="Times New Roman"/>
          <w:szCs w:val="24"/>
        </w:rPr>
        <w:t xml:space="preserve">: Oversettelsen </w:t>
      </w:r>
      <w:r w:rsidR="002C63E7">
        <w:rPr>
          <w:rFonts w:cs="Times New Roman"/>
          <w:szCs w:val="24"/>
        </w:rPr>
        <w:t xml:space="preserve">er bestilt av Transportøkonomisk institutt og </w:t>
      </w:r>
      <w:r w:rsidRPr="005717A2">
        <w:rPr>
          <w:rFonts w:cs="Times New Roman"/>
          <w:szCs w:val="24"/>
        </w:rPr>
        <w:t xml:space="preserve">skal brukes </w:t>
      </w:r>
      <w:r w:rsidR="002C63E7">
        <w:rPr>
          <w:rFonts w:cs="Times New Roman"/>
          <w:szCs w:val="24"/>
        </w:rPr>
        <w:t>i en av TØI-rapport om andre lands satsing på e-mobilitet.</w:t>
      </w:r>
    </w:p>
    <w:p w:rsidR="00287527" w:rsidRPr="005717A2" w:rsidRDefault="00287527" w:rsidP="00287527">
      <w:pPr>
        <w:autoSpaceDE w:val="0"/>
        <w:autoSpaceDN w:val="0"/>
        <w:adjustRightInd w:val="0"/>
        <w:rPr>
          <w:rFonts w:cs="Times New Roman"/>
          <w:color w:val="1A1A18"/>
          <w:szCs w:val="24"/>
        </w:rPr>
      </w:pPr>
    </w:p>
    <w:p w:rsidR="00FD6632" w:rsidRPr="005510B2" w:rsidRDefault="00FD6632" w:rsidP="00287527">
      <w:pPr>
        <w:autoSpaceDE w:val="0"/>
        <w:autoSpaceDN w:val="0"/>
        <w:adjustRightInd w:val="0"/>
        <w:rPr>
          <w:rFonts w:cs="Times New Roman"/>
          <w:b/>
          <w:color w:val="1A1A18"/>
          <w:szCs w:val="24"/>
          <w:lang w:val="de-DE"/>
        </w:rPr>
      </w:pPr>
      <w:r w:rsidRPr="005510B2">
        <w:rPr>
          <w:rFonts w:cs="Times New Roman"/>
          <w:b/>
          <w:color w:val="1A1A18"/>
          <w:szCs w:val="24"/>
          <w:lang w:val="de-DE"/>
        </w:rPr>
        <w:t>Technischer Leitfaden – Ladeinfrastruktur</w:t>
      </w:r>
    </w:p>
    <w:p w:rsidR="00FD6632" w:rsidRPr="005510B2" w:rsidRDefault="00FD6632" w:rsidP="00287527">
      <w:pPr>
        <w:autoSpaceDE w:val="0"/>
        <w:autoSpaceDN w:val="0"/>
        <w:adjustRightInd w:val="0"/>
        <w:rPr>
          <w:rFonts w:cs="Times New Roman"/>
          <w:color w:val="1A1A18"/>
          <w:szCs w:val="24"/>
          <w:lang w:val="de-DE"/>
        </w:rPr>
      </w:pPr>
    </w:p>
    <w:p w:rsidR="00CC7805" w:rsidRPr="005717A2" w:rsidRDefault="00287527" w:rsidP="00287527">
      <w:pPr>
        <w:autoSpaceDE w:val="0"/>
        <w:autoSpaceDN w:val="0"/>
        <w:adjustRightInd w:val="0"/>
        <w:rPr>
          <w:rFonts w:cs="Times New Roman"/>
          <w:color w:val="1A1A18"/>
          <w:szCs w:val="24"/>
          <w:lang w:val="de-DE"/>
        </w:rPr>
      </w:pPr>
      <w:r w:rsidRPr="005717A2">
        <w:rPr>
          <w:rFonts w:cs="Times New Roman"/>
          <w:color w:val="1A1A18"/>
          <w:szCs w:val="24"/>
          <w:lang w:val="de-DE"/>
        </w:rPr>
        <w:t>Die Einführung der Elektromobilität benötigt neben Fahrzeugen wie Pedelecs, E-Scootern, Elektro- und Plug-In-Hybridfahrzeugen ebenfalls komfortable und sichere Ladeinfrastruktur. Hiermit sind nicht nur die Ladestationen in öffentlichen Bereichen gemeint, sondern auch sichere Lademöglichkeiten im Eigenheim oder sonstigen Immobilien. Die zu erwartende steigende Zahl von elektrisch angetriebenen Fahrzeugen stellt spezielle Anforderungen an die benötigte Ladeinfrastruktur. Das Errichten von Ladestationen im privaten wie auch im öffent</w:t>
      </w:r>
      <w:r w:rsidR="005717A2">
        <w:rPr>
          <w:rFonts w:cs="Times New Roman"/>
          <w:color w:val="1A1A18"/>
          <w:szCs w:val="24"/>
          <w:lang w:val="de-DE"/>
        </w:rPr>
        <w:softHyphen/>
      </w:r>
      <w:r w:rsidRPr="005717A2">
        <w:rPr>
          <w:rFonts w:cs="Times New Roman"/>
          <w:color w:val="1A1A18"/>
          <w:szCs w:val="24"/>
          <w:lang w:val="de-DE"/>
        </w:rPr>
        <w:t>lichen Bereich, sowie der Ausbau einer Ladeinfrastruktur werden durch das Vorhandensein einer gut ausgebauten elektrischen Infrastruktur maßgeblich erleichtert. Dieser Leitfaden gibt einen Überblick über verschiedene Anwendungsfälle […]</w:t>
      </w:r>
    </w:p>
    <w:p w:rsidR="00287527" w:rsidRPr="005717A2" w:rsidRDefault="00287527" w:rsidP="00287527">
      <w:pPr>
        <w:rPr>
          <w:rFonts w:cs="Times New Roman"/>
          <w:color w:val="1A1A18"/>
          <w:szCs w:val="24"/>
          <w:lang w:val="de-DE"/>
        </w:rPr>
      </w:pPr>
    </w:p>
    <w:p w:rsidR="00287527" w:rsidRPr="005717A2" w:rsidRDefault="00287527" w:rsidP="00287527">
      <w:pPr>
        <w:autoSpaceDE w:val="0"/>
        <w:autoSpaceDN w:val="0"/>
        <w:adjustRightInd w:val="0"/>
        <w:rPr>
          <w:rFonts w:cs="Times New Roman"/>
          <w:color w:val="1A1A18"/>
          <w:szCs w:val="24"/>
          <w:lang w:val="de-DE"/>
        </w:rPr>
      </w:pPr>
      <w:r w:rsidRPr="005717A2">
        <w:rPr>
          <w:rFonts w:cs="Times New Roman"/>
          <w:color w:val="1A1A18"/>
          <w:szCs w:val="24"/>
          <w:lang w:val="de-DE"/>
        </w:rPr>
        <w:t>Bei der Planung der Ladeinfrastruktur muss berücksichtigt werden, welche Fahrzeugtypen mit welchen Ladetechnologien und welches Nutzerverhalten zu erwarten sind. Erst daraus können die Anforderungen an die Ladeinfrastruktur abgeleitet werden.</w:t>
      </w:r>
    </w:p>
    <w:p w:rsidR="00287527" w:rsidRPr="005717A2" w:rsidRDefault="00287527" w:rsidP="00287527">
      <w:pPr>
        <w:autoSpaceDE w:val="0"/>
        <w:autoSpaceDN w:val="0"/>
        <w:adjustRightInd w:val="0"/>
        <w:rPr>
          <w:rFonts w:cs="Times New Roman"/>
          <w:color w:val="1A1A18"/>
          <w:szCs w:val="24"/>
          <w:lang w:val="de-DE"/>
        </w:rPr>
      </w:pPr>
    </w:p>
    <w:p w:rsidR="00287527" w:rsidRPr="005717A2" w:rsidRDefault="00287527" w:rsidP="00287527">
      <w:pPr>
        <w:autoSpaceDE w:val="0"/>
        <w:autoSpaceDN w:val="0"/>
        <w:adjustRightInd w:val="0"/>
        <w:rPr>
          <w:rFonts w:cs="Times New Roman"/>
          <w:color w:val="1A1A18"/>
          <w:szCs w:val="24"/>
          <w:lang w:val="de-DE"/>
        </w:rPr>
      </w:pPr>
      <w:r w:rsidRPr="005717A2">
        <w:rPr>
          <w:rFonts w:cs="Times New Roman"/>
          <w:color w:val="1A1A18"/>
          <w:szCs w:val="24"/>
          <w:lang w:val="de-DE"/>
        </w:rPr>
        <w:t>Es ist AC- (Wechselstrom) und DC-Laden (Gleichstrom) mit unterschiedlichsten Ladeleistun</w:t>
      </w:r>
      <w:r w:rsidR="005717A2">
        <w:rPr>
          <w:rFonts w:cs="Times New Roman"/>
          <w:color w:val="1A1A18"/>
          <w:szCs w:val="24"/>
          <w:lang w:val="de-DE"/>
        </w:rPr>
        <w:softHyphen/>
      </w:r>
      <w:r w:rsidRPr="005717A2">
        <w:rPr>
          <w:rFonts w:cs="Times New Roman"/>
          <w:color w:val="1A1A18"/>
          <w:szCs w:val="24"/>
          <w:lang w:val="de-DE"/>
        </w:rPr>
        <w:t>gen bei Fahrzeugen denkbar. Die verschiedenen Elektrofahrzeugtypen werden in diesem Leitfaden in Elektro- und Plug-In-Hybridfahrzeuge sowie Pedelecs, E-Bikes und E-Scooter eingeteilt. Bei kleineren Batteriekapazitäten wie sie für Pedelecs, E-Bikes und E-Scootern ausreichen, erfolgt der Anschluss an das Wechselstromnetz einphasig durch die Nutzung vorhandener Haushaltssteckdosen. Bei größeren und schwereren Elektrofahrzeugen mit größeren Batteriekapazitäten kann eine akzeptable Reichweite darüber hinaus durch 3-phasiges AC-Laden oder DC-Laden mit einer angemessen kurzen Ladedauer ermöglicht werden. Der durchschnittliche Verbrauch der Elektrofahrzeuge liegt je nach Gewicht und Größe bei ca. 15-20 kWh / 100 km. Für drei- und vierrädrige Elektrofahrzeuge sollte die Ladebetriebsart 3 (AC-Laden) oder Ladebetriebsart 4 (DC-Laden) bevorzugt verwendet werden. […]</w:t>
      </w:r>
    </w:p>
    <w:p w:rsidR="00287527" w:rsidRPr="005717A2" w:rsidRDefault="00287527" w:rsidP="00287527">
      <w:pPr>
        <w:rPr>
          <w:rFonts w:cs="Times New Roman"/>
          <w:color w:val="1A1A18"/>
          <w:szCs w:val="24"/>
          <w:lang w:val="de-DE"/>
        </w:rPr>
      </w:pPr>
    </w:p>
    <w:p w:rsidR="00287527" w:rsidRPr="005717A2" w:rsidRDefault="00287527" w:rsidP="00287527">
      <w:pPr>
        <w:rPr>
          <w:rFonts w:cs="Times New Roman"/>
          <w:szCs w:val="24"/>
          <w:lang w:val="de-DE"/>
        </w:rPr>
      </w:pPr>
      <w:r w:rsidRPr="005717A2">
        <w:rPr>
          <w:rFonts w:cs="Times New Roman"/>
          <w:color w:val="1A1A18"/>
          <w:szCs w:val="24"/>
          <w:lang w:val="de-DE"/>
        </w:rPr>
        <w:t xml:space="preserve">[…] </w:t>
      </w:r>
      <w:r w:rsidRPr="005717A2">
        <w:rPr>
          <w:rFonts w:cs="Times New Roman"/>
          <w:szCs w:val="24"/>
          <w:lang w:val="de-DE"/>
        </w:rPr>
        <w:t>Anforderungen an die ausführenden Firmen</w:t>
      </w:r>
    </w:p>
    <w:p w:rsidR="00287527" w:rsidRPr="005717A2" w:rsidRDefault="00287527" w:rsidP="00405143">
      <w:pPr>
        <w:autoSpaceDE w:val="0"/>
        <w:autoSpaceDN w:val="0"/>
        <w:adjustRightInd w:val="0"/>
        <w:rPr>
          <w:rFonts w:cs="Times New Roman"/>
          <w:color w:val="1A1A18"/>
          <w:szCs w:val="24"/>
          <w:lang w:val="de-DE"/>
        </w:rPr>
      </w:pPr>
      <w:r w:rsidRPr="005717A2">
        <w:rPr>
          <w:rFonts w:cs="Times New Roman"/>
          <w:color w:val="1A1A18"/>
          <w:szCs w:val="24"/>
          <w:lang w:val="de-DE"/>
        </w:rPr>
        <w:t>Die Ladeinfrastruktur für Elektromobilität gehört zu den Energieanlagen beziehungsweise elektrischen Anlagen. Energieanlagen sind so zu errichten und zu betreiben, dass die technische Sicherheit gewährleistet ist. Dabei sind vorbehaltlich sonstiger Rechtsvorschriften die allgemein anerkannten Regeln der Technik zu beachten (vgl. § 49 Energiewirtschafts</w:t>
      </w:r>
      <w:r w:rsidR="005717A2">
        <w:rPr>
          <w:rFonts w:cs="Times New Roman"/>
          <w:color w:val="1A1A18"/>
          <w:szCs w:val="24"/>
          <w:lang w:val="de-DE"/>
        </w:rPr>
        <w:softHyphen/>
      </w:r>
      <w:r w:rsidRPr="005717A2">
        <w:rPr>
          <w:rFonts w:cs="Times New Roman"/>
          <w:color w:val="1A1A18"/>
          <w:szCs w:val="24"/>
          <w:lang w:val="de-DE"/>
        </w:rPr>
        <w:t xml:space="preserve">gesetz (EnWG)). Zum Betrieb gehören auch das Erweitern, Ändern und Instandhalten. Es wird vermutet, dass diese Regeln eingehalten wurden, wenn die technischen Regeln des </w:t>
      </w:r>
      <w:r w:rsidR="00405143" w:rsidRPr="005717A2">
        <w:rPr>
          <w:rFonts w:cs="Times New Roman"/>
          <w:color w:val="1A1A18"/>
          <w:szCs w:val="24"/>
          <w:lang w:val="de-DE"/>
        </w:rPr>
        <w:t>Verbands der Elektrotechnik Elektronik Informationstechnik e. V. (</w:t>
      </w:r>
      <w:r w:rsidRPr="005717A2">
        <w:rPr>
          <w:rFonts w:cs="Times New Roman"/>
          <w:color w:val="1A1A18"/>
          <w:szCs w:val="24"/>
          <w:lang w:val="de-DE"/>
        </w:rPr>
        <w:t>VDE</w:t>
      </w:r>
      <w:r w:rsidR="00405143" w:rsidRPr="005717A2">
        <w:rPr>
          <w:rFonts w:cs="Times New Roman"/>
          <w:color w:val="1A1A18"/>
          <w:szCs w:val="24"/>
          <w:lang w:val="de-DE"/>
        </w:rPr>
        <w:t>)</w:t>
      </w:r>
      <w:r w:rsidRPr="005717A2">
        <w:rPr>
          <w:rFonts w:cs="Times New Roman"/>
          <w:color w:val="1A1A18"/>
          <w:szCs w:val="24"/>
          <w:lang w:val="de-DE"/>
        </w:rPr>
        <w:t xml:space="preserve"> eingehalten wurden. Damit erlangt die Einhaltung der Normen beim Errichten, Erweitern, Ändern und Instandhalten eine besondere Bedeutung für Sicherheit und Funktionalität, aber auch für die juristische Absicherung.</w:t>
      </w:r>
    </w:p>
    <w:p w:rsidR="00287527" w:rsidRPr="005717A2" w:rsidRDefault="00405143" w:rsidP="00287527">
      <w:pPr>
        <w:autoSpaceDE w:val="0"/>
        <w:autoSpaceDN w:val="0"/>
        <w:adjustRightInd w:val="0"/>
        <w:rPr>
          <w:rFonts w:cs="Times New Roman"/>
          <w:color w:val="1A1A18"/>
          <w:szCs w:val="24"/>
          <w:lang w:val="de-DE"/>
        </w:rPr>
      </w:pPr>
      <w:r w:rsidRPr="005717A2">
        <w:rPr>
          <w:rFonts w:cs="Times New Roman"/>
          <w:color w:val="1A1A18"/>
          <w:szCs w:val="24"/>
          <w:lang w:val="de-DE"/>
        </w:rPr>
        <w:t>[…]</w:t>
      </w:r>
    </w:p>
    <w:p w:rsidR="00FD6632" w:rsidRDefault="00FD6632" w:rsidP="00287527">
      <w:pPr>
        <w:autoSpaceDE w:val="0"/>
        <w:autoSpaceDN w:val="0"/>
        <w:adjustRightInd w:val="0"/>
        <w:rPr>
          <w:rFonts w:cs="Times New Roman"/>
          <w:color w:val="1A1A18"/>
          <w:szCs w:val="24"/>
          <w:lang w:val="de-DE"/>
        </w:rPr>
      </w:pPr>
    </w:p>
    <w:sectPr w:rsidR="00FD6632" w:rsidSect="005510B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DC"/>
    <w:rsid w:val="00275009"/>
    <w:rsid w:val="00287527"/>
    <w:rsid w:val="002C63E7"/>
    <w:rsid w:val="00405143"/>
    <w:rsid w:val="00497ADC"/>
    <w:rsid w:val="005510B2"/>
    <w:rsid w:val="005717A2"/>
    <w:rsid w:val="00C87565"/>
    <w:rsid w:val="00CC7805"/>
    <w:rsid w:val="00EB4643"/>
    <w:rsid w:val="00FD66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391C1-0638-4FCD-A57C-853E9FC4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5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003428">
      <w:bodyDiv w:val="1"/>
      <w:marLeft w:val="0"/>
      <w:marRight w:val="0"/>
      <w:marTop w:val="0"/>
      <w:marBottom w:val="0"/>
      <w:divBdr>
        <w:top w:val="none" w:sz="0" w:space="0" w:color="auto"/>
        <w:left w:val="none" w:sz="0" w:space="0" w:color="auto"/>
        <w:bottom w:val="none" w:sz="0" w:space="0" w:color="auto"/>
        <w:right w:val="none" w:sz="0" w:space="0" w:color="auto"/>
      </w:divBdr>
      <w:divsChild>
        <w:div w:id="1598712088">
          <w:marLeft w:val="0"/>
          <w:marRight w:val="0"/>
          <w:marTop w:val="0"/>
          <w:marBottom w:val="0"/>
          <w:divBdr>
            <w:top w:val="none" w:sz="0" w:space="0" w:color="auto"/>
            <w:left w:val="none" w:sz="0" w:space="0" w:color="auto"/>
            <w:bottom w:val="none" w:sz="0" w:space="0" w:color="auto"/>
            <w:right w:val="none" w:sz="0" w:space="0" w:color="auto"/>
          </w:divBdr>
          <w:divsChild>
            <w:div w:id="1741781296">
              <w:marLeft w:val="-150"/>
              <w:marRight w:val="-150"/>
              <w:marTop w:val="0"/>
              <w:marBottom w:val="0"/>
              <w:divBdr>
                <w:top w:val="none" w:sz="0" w:space="0" w:color="auto"/>
                <w:left w:val="none" w:sz="0" w:space="0" w:color="auto"/>
                <w:bottom w:val="none" w:sz="0" w:space="0" w:color="auto"/>
                <w:right w:val="none" w:sz="0" w:space="0" w:color="auto"/>
              </w:divBdr>
              <w:divsChild>
                <w:div w:id="1357581289">
                  <w:marLeft w:val="-150"/>
                  <w:marRight w:val="-150"/>
                  <w:marTop w:val="0"/>
                  <w:marBottom w:val="0"/>
                  <w:divBdr>
                    <w:top w:val="none" w:sz="0" w:space="0" w:color="auto"/>
                    <w:left w:val="none" w:sz="0" w:space="0" w:color="auto"/>
                    <w:bottom w:val="none" w:sz="0" w:space="0" w:color="auto"/>
                    <w:right w:val="none" w:sz="0" w:space="0" w:color="auto"/>
                  </w:divBdr>
                  <w:divsChild>
                    <w:div w:id="1926527433">
                      <w:marLeft w:val="0"/>
                      <w:marRight w:val="0"/>
                      <w:marTop w:val="0"/>
                      <w:marBottom w:val="0"/>
                      <w:divBdr>
                        <w:top w:val="none" w:sz="0" w:space="0" w:color="auto"/>
                        <w:left w:val="none" w:sz="0" w:space="0" w:color="auto"/>
                        <w:bottom w:val="none" w:sz="0" w:space="0" w:color="auto"/>
                        <w:right w:val="none" w:sz="0" w:space="0" w:color="auto"/>
                      </w:divBdr>
                      <w:divsChild>
                        <w:div w:id="1207915335">
                          <w:marLeft w:val="0"/>
                          <w:marRight w:val="0"/>
                          <w:marTop w:val="0"/>
                          <w:marBottom w:val="0"/>
                          <w:divBdr>
                            <w:top w:val="none" w:sz="0" w:space="0" w:color="auto"/>
                            <w:left w:val="none" w:sz="0" w:space="0" w:color="auto"/>
                            <w:bottom w:val="none" w:sz="0" w:space="0" w:color="auto"/>
                            <w:right w:val="none" w:sz="0" w:space="0" w:color="auto"/>
                          </w:divBdr>
                          <w:divsChild>
                            <w:div w:id="49507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in.de/blob/97246/c0cbb8df0581d171e1dc7674941fe409/technischer-leitfaden-ladeinfrastruktur-da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2958</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NNx</dc:creator>
  <cp:keywords/>
  <dc:description/>
  <cp:lastModifiedBy>Bjørnulf Hinderaker</cp:lastModifiedBy>
  <cp:revision>2</cp:revision>
  <cp:lastPrinted>2018-04-17T11:45:00Z</cp:lastPrinted>
  <dcterms:created xsi:type="dcterms:W3CDTF">2018-04-17T12:07:00Z</dcterms:created>
  <dcterms:modified xsi:type="dcterms:W3CDTF">2018-04-17T12:07:00Z</dcterms:modified>
</cp:coreProperties>
</file>