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B" w:rsidRPr="00B1093C" w:rsidRDefault="00080EDB" w:rsidP="00080EDB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2018</w:t>
      </w:r>
      <w:r w:rsidRPr="00B1093C">
        <w:rPr>
          <w:rFonts w:cs="Times New Roman"/>
          <w:b/>
          <w:szCs w:val="24"/>
        </w:rPr>
        <w:t xml:space="preserve"> Norsk (økonomisk-administrativ tekst)</w:t>
      </w:r>
    </w:p>
    <w:p w:rsidR="00080EDB" w:rsidRDefault="00080EDB" w:rsidP="00080EDB">
      <w:pPr>
        <w:shd w:val="clear" w:color="auto" w:fill="FFFFFF"/>
        <w:spacing w:after="0" w:line="240" w:lineRule="auto"/>
        <w:rPr>
          <w:rFonts w:eastAsia="Times New Roman" w:cs="Times New Roman"/>
          <w:bCs/>
          <w:color w:val="333333"/>
          <w:sz w:val="20"/>
          <w:szCs w:val="20"/>
          <w:lang w:eastAsia="nb-NO"/>
        </w:rPr>
      </w:pPr>
    </w:p>
    <w:p w:rsidR="00234E94" w:rsidRDefault="00234E94" w:rsidP="0008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bCs/>
          <w:color w:val="333333"/>
          <w:sz w:val="20"/>
          <w:szCs w:val="20"/>
          <w:lang w:eastAsia="nb-NO"/>
        </w:rPr>
      </w:pPr>
      <w:r w:rsidRPr="005435EB">
        <w:rPr>
          <w:rFonts w:eastAsia="Times New Roman" w:cs="Times New Roman"/>
          <w:bCs/>
          <w:color w:val="333333"/>
          <w:sz w:val="20"/>
          <w:szCs w:val="20"/>
          <w:lang w:eastAsia="nb-NO"/>
        </w:rPr>
        <w:t>Et oversettelsesvalg henger alltid tett sammen med vurderinger knyttet til det konkrete oversettelsesoppdraget (</w:t>
      </w:r>
      <w:r w:rsidRPr="00234E94">
        <w:rPr>
          <w:rFonts w:eastAsia="Times New Roman" w:cs="Times New Roman"/>
          <w:bCs/>
          <w:i/>
          <w:color w:val="333333"/>
          <w:sz w:val="20"/>
          <w:szCs w:val="20"/>
          <w:lang w:eastAsia="nb-NO"/>
        </w:rPr>
        <w:t>translation brief</w:t>
      </w:r>
      <w:r w:rsidRPr="005435EB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). Derfor følger her beskrivelsen av et tenkt oppdrag for oversettelse </w:t>
      </w:r>
      <w:r w:rsidRPr="00983CEE">
        <w:rPr>
          <w:rFonts w:eastAsia="Times New Roman" w:cs="Times New Roman"/>
          <w:bCs/>
          <w:color w:val="333333"/>
          <w:sz w:val="20"/>
          <w:szCs w:val="20"/>
          <w:lang w:eastAsia="nb-NO"/>
        </w:rPr>
        <w:t>av</w:t>
      </w:r>
      <w:r w:rsidR="00AB1D12" w:rsidRPr="00983CEE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utdrag av</w:t>
      </w:r>
      <w:r w:rsidRPr="005435EB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</w:t>
      </w:r>
      <w:r>
        <w:rPr>
          <w:rFonts w:eastAsia="Times New Roman" w:cs="Times New Roman"/>
          <w:bCs/>
          <w:color w:val="333333"/>
          <w:sz w:val="20"/>
          <w:szCs w:val="20"/>
          <w:lang w:eastAsia="nb-NO"/>
        </w:rPr>
        <w:t>nedenstående artikkel fra Finansdepartementet av 12.10.2017</w:t>
      </w:r>
      <w:r w:rsidR="00AB1D12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(</w:t>
      </w:r>
      <w:hyperlink r:id="rId7" w:history="1">
        <w:r w:rsidR="00AB1D12" w:rsidRPr="004A2319">
          <w:rPr>
            <w:rStyle w:val="Hyperlink"/>
            <w:rFonts w:eastAsia="Times New Roman" w:cs="Times New Roman"/>
            <w:bCs/>
            <w:sz w:val="20"/>
            <w:szCs w:val="20"/>
            <w:lang w:eastAsia="nb-NO"/>
          </w:rPr>
          <w:t>https://www.regjeringen.no/no/tema/okonomi-og-budsjett/norsk_okonomi/bruk-av-oljepenger-/hvorfor-ikke-bruke-mer-oljepenger/id484905/</w:t>
        </w:r>
      </w:hyperlink>
      <w:r w:rsidR="00AB1D12">
        <w:rPr>
          <w:rFonts w:eastAsia="Times New Roman" w:cs="Times New Roman"/>
          <w:bCs/>
          <w:color w:val="333333"/>
          <w:sz w:val="20"/>
          <w:szCs w:val="20"/>
          <w:lang w:eastAsia="nb-NO"/>
        </w:rPr>
        <w:t>)</w:t>
      </w:r>
    </w:p>
    <w:p w:rsidR="00AB1D12" w:rsidRPr="005435EB" w:rsidRDefault="00AB1D12" w:rsidP="0008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bCs/>
          <w:color w:val="333333"/>
          <w:sz w:val="20"/>
          <w:szCs w:val="20"/>
          <w:lang w:eastAsia="nb-NO"/>
        </w:rPr>
      </w:pPr>
    </w:p>
    <w:p w:rsidR="00234E94" w:rsidRPr="005435EB" w:rsidRDefault="00234E94" w:rsidP="0008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bCs/>
          <w:color w:val="333333"/>
          <w:sz w:val="20"/>
          <w:szCs w:val="20"/>
          <w:lang w:eastAsia="nb-NO"/>
        </w:rPr>
      </w:pPr>
      <w:r w:rsidRPr="005435EB">
        <w:rPr>
          <w:rFonts w:eastAsia="Times New Roman" w:cs="Times New Roman"/>
          <w:b/>
          <w:bCs/>
          <w:i/>
          <w:color w:val="333333"/>
          <w:sz w:val="20"/>
          <w:szCs w:val="20"/>
          <w:lang w:eastAsia="nb-NO"/>
        </w:rPr>
        <w:t>Translation brief</w:t>
      </w:r>
      <w:r w:rsidRPr="005435EB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: Oversettelsen er bestilt av </w:t>
      </w:r>
      <w:r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Finansdepartementet med sikte på å få </w:t>
      </w:r>
      <w:r w:rsidR="00B76227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publisert </w:t>
      </w:r>
      <w:r w:rsidR="002E6827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en nettside på </w:t>
      </w:r>
      <w:r>
        <w:rPr>
          <w:rFonts w:eastAsia="Times New Roman" w:cs="Times New Roman"/>
          <w:bCs/>
          <w:color w:val="333333"/>
          <w:sz w:val="20"/>
          <w:szCs w:val="20"/>
          <w:lang w:eastAsia="nb-NO"/>
        </w:rPr>
        <w:t>språkene</w:t>
      </w:r>
      <w:r w:rsidR="002E6827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albansk, engelsk, fransk, polsk, russisk, spansk og tysk</w:t>
      </w:r>
      <w:r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. </w:t>
      </w:r>
      <w:r w:rsidRPr="005435EB">
        <w:rPr>
          <w:rFonts w:eastAsia="Times New Roman" w:cs="Times New Roman"/>
          <w:bCs/>
          <w:color w:val="333333"/>
          <w:sz w:val="20"/>
          <w:szCs w:val="20"/>
          <w:lang w:eastAsia="nb-NO"/>
        </w:rPr>
        <w:t>Målgruppen er</w:t>
      </w:r>
      <w:r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</w:t>
      </w:r>
      <w:r w:rsidR="00080EDB">
        <w:rPr>
          <w:rFonts w:eastAsia="Times New Roman" w:cs="Times New Roman"/>
          <w:bCs/>
          <w:color w:val="333333"/>
          <w:sz w:val="20"/>
          <w:szCs w:val="20"/>
          <w:lang w:eastAsia="nb-NO"/>
        </w:rPr>
        <w:t>et internasjonalt publikum</w:t>
      </w:r>
      <w:r w:rsidR="009C6D62"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som er interessert i norsk økonomi.</w:t>
      </w:r>
      <w:r>
        <w:rPr>
          <w:rFonts w:eastAsia="Times New Roman" w:cs="Times New Roman"/>
          <w:bCs/>
          <w:color w:val="333333"/>
          <w:sz w:val="20"/>
          <w:szCs w:val="20"/>
          <w:lang w:eastAsia="nb-NO"/>
        </w:rPr>
        <w:t xml:space="preserve"> </w:t>
      </w:r>
    </w:p>
    <w:p w:rsidR="009C6D62" w:rsidRDefault="009C6D62" w:rsidP="009C6D62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nb-NO"/>
        </w:rPr>
      </w:pPr>
    </w:p>
    <w:p w:rsidR="00B6380F" w:rsidRPr="00B6380F" w:rsidRDefault="00B6380F" w:rsidP="009C6D62">
      <w:pPr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nb-NO"/>
        </w:rPr>
      </w:pPr>
      <w:r w:rsidRPr="00B6380F">
        <w:rPr>
          <w:rFonts w:eastAsia="Times New Roman" w:cs="Times New Roman"/>
          <w:b/>
          <w:bCs/>
          <w:color w:val="000000"/>
          <w:kern w:val="36"/>
          <w:szCs w:val="24"/>
          <w:lang w:eastAsia="nb-NO"/>
        </w:rPr>
        <w:t xml:space="preserve">Bruk av oljepenger </w:t>
      </w:r>
    </w:p>
    <w:p w:rsidR="00B6380F" w:rsidRDefault="00B6380F" w:rsidP="009C6D6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  <w:r w:rsidRPr="00B6380F">
        <w:rPr>
          <w:rFonts w:eastAsia="Times New Roman" w:cs="Times New Roman"/>
          <w:color w:val="000000"/>
          <w:szCs w:val="24"/>
          <w:lang w:eastAsia="nb-NO"/>
        </w:rPr>
        <w:t>Handlingsregelen er en plan for gradvis å fase olj</w:t>
      </w:r>
      <w:r w:rsidR="00E71781">
        <w:rPr>
          <w:rFonts w:eastAsia="Times New Roman" w:cs="Times New Roman"/>
          <w:color w:val="000000"/>
          <w:szCs w:val="24"/>
          <w:lang w:eastAsia="nb-NO"/>
        </w:rPr>
        <w:t>einntektene inn i norsk økonomi</w:t>
      </w:r>
      <w:bookmarkStart w:id="0" w:name="_GoBack"/>
      <w:bookmarkEnd w:id="0"/>
      <w:r w:rsidRPr="00B6380F">
        <w:rPr>
          <w:rFonts w:eastAsia="Times New Roman" w:cs="Times New Roman"/>
          <w:color w:val="000000"/>
          <w:szCs w:val="24"/>
          <w:lang w:eastAsia="nb-NO"/>
        </w:rPr>
        <w:t xml:space="preserve"> og ligger til grunn for budsjettpolitikken. </w:t>
      </w:r>
    </w:p>
    <w:p w:rsidR="009C6D62" w:rsidRPr="00B6380F" w:rsidRDefault="009C6D62" w:rsidP="009C6D6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</w:p>
    <w:p w:rsidR="00B6380F" w:rsidRDefault="00B6380F" w:rsidP="009C6D6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  <w:r w:rsidRPr="00B6380F">
        <w:rPr>
          <w:rFonts w:eastAsia="Times New Roman" w:cs="Times New Roman"/>
          <w:color w:val="000000"/>
          <w:szCs w:val="24"/>
          <w:lang w:eastAsia="nb-NO"/>
        </w:rPr>
        <w:t>Statens netto kontantstrøm fra petroleumsvirksomheten settes i sin helhet til side i Statens pensjonsfond utlan</w:t>
      </w:r>
      <w:r w:rsidR="00AB1D12">
        <w:rPr>
          <w:rFonts w:eastAsia="Times New Roman" w:cs="Times New Roman"/>
          <w:color w:val="000000"/>
          <w:szCs w:val="24"/>
          <w:lang w:eastAsia="nb-NO"/>
        </w:rPr>
        <w:t xml:space="preserve">d (SPU) sammen med avkastningen </w:t>
      </w:r>
      <w:r w:rsidR="00080EDB">
        <w:rPr>
          <w:rFonts w:eastAsia="Times New Roman" w:cs="Times New Roman"/>
          <w:color w:val="000000"/>
          <w:szCs w:val="24"/>
          <w:lang w:eastAsia="nb-NO"/>
        </w:rPr>
        <w:t xml:space="preserve">fra </w:t>
      </w:r>
      <w:r w:rsidRPr="00B6380F">
        <w:rPr>
          <w:rFonts w:eastAsia="Times New Roman" w:cs="Times New Roman"/>
          <w:color w:val="000000"/>
          <w:szCs w:val="24"/>
          <w:lang w:eastAsia="nb-NO"/>
        </w:rPr>
        <w:t>fondets eiendeler, mens det gjøres et uttak fra fondet for å dekke det oljekorrigerte underskuddet på statsbudsjettet. Retnings</w:t>
      </w:r>
      <w:r w:rsidR="009C6D62">
        <w:rPr>
          <w:rFonts w:eastAsia="Times New Roman" w:cs="Times New Roman"/>
          <w:color w:val="000000"/>
          <w:szCs w:val="24"/>
          <w:lang w:eastAsia="nb-NO"/>
        </w:rPr>
        <w:softHyphen/>
      </w:r>
      <w:r w:rsidRPr="00B6380F">
        <w:rPr>
          <w:rFonts w:eastAsia="Times New Roman" w:cs="Times New Roman"/>
          <w:color w:val="000000"/>
          <w:szCs w:val="24"/>
          <w:lang w:eastAsia="nb-NO"/>
        </w:rPr>
        <w:t>linjene er fleksible. Over tid skal uttaket følge den forventede realavkastningen av fondet, mens bruken av oljeinntekter det enkelte år skal tilpasses konjunktursituasjonen i økonomien. Det legges til grunn en forventet realavkastning på 3 prosent i SPU, mot tidligere 4 prosent.</w:t>
      </w:r>
    </w:p>
    <w:p w:rsidR="009C6D62" w:rsidRPr="00B6380F" w:rsidRDefault="009C6D62" w:rsidP="009C6D6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</w:p>
    <w:p w:rsidR="00B6380F" w:rsidRDefault="00B6380F" w:rsidP="009C6D6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  <w:r w:rsidRPr="00B6380F">
        <w:rPr>
          <w:rFonts w:eastAsia="Times New Roman" w:cs="Times New Roman"/>
          <w:color w:val="000000"/>
          <w:szCs w:val="24"/>
          <w:lang w:eastAsia="nb-NO"/>
        </w:rPr>
        <w:t>Det finanspolitiske rammeverket er tilpasset de særlige utfordringene Norge står overfor i håndteringen av en stor petroleumsformue. Handlingsregelen har likevel klare paralleller til finanspolitiske regler i andre europeiske land. Handlingsregelen stiller krav til utviklingen i det oljekorrigerte underskuddet på statsbudsjettet og er slik sett en balanseregel: Utgiftene på st</w:t>
      </w:r>
      <w:r w:rsidR="003F0336">
        <w:rPr>
          <w:rFonts w:eastAsia="Times New Roman" w:cs="Times New Roman"/>
          <w:color w:val="000000"/>
          <w:szCs w:val="24"/>
          <w:lang w:eastAsia="nb-NO"/>
        </w:rPr>
        <w:t>atsbudsjettet skal over tid</w:t>
      </w:r>
      <w:r w:rsidRPr="00B6380F">
        <w:rPr>
          <w:rFonts w:eastAsia="Times New Roman" w:cs="Times New Roman"/>
          <w:color w:val="000000"/>
          <w:szCs w:val="24"/>
          <w:lang w:eastAsia="nb-NO"/>
        </w:rPr>
        <w:t xml:space="preserve"> følge summen av </w:t>
      </w:r>
      <w:r w:rsidR="00B76227">
        <w:rPr>
          <w:rFonts w:eastAsia="Times New Roman" w:cs="Times New Roman"/>
          <w:color w:val="000000"/>
          <w:szCs w:val="24"/>
          <w:lang w:eastAsia="nb-NO"/>
        </w:rPr>
        <w:t>statens inntekter fra fastlands</w:t>
      </w:r>
      <w:r w:rsidRPr="00B6380F">
        <w:rPr>
          <w:rFonts w:eastAsia="Times New Roman" w:cs="Times New Roman"/>
          <w:color w:val="000000"/>
          <w:szCs w:val="24"/>
          <w:lang w:eastAsia="nb-NO"/>
        </w:rPr>
        <w:t>økonomien og den forventede realavkastningen av fondet. Flere land, herunder alle landene i EU, har regler som setter krav til</w:t>
      </w:r>
      <w:r w:rsidR="00080EDB">
        <w:rPr>
          <w:rFonts w:eastAsia="Times New Roman" w:cs="Times New Roman"/>
          <w:color w:val="000000"/>
          <w:szCs w:val="24"/>
          <w:lang w:eastAsia="nb-NO"/>
        </w:rPr>
        <w:t xml:space="preserve"> utviklingen i budsjettbalansen.</w:t>
      </w:r>
    </w:p>
    <w:p w:rsidR="009C6D62" w:rsidRPr="00B6380F" w:rsidRDefault="009C6D62" w:rsidP="009C6D6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</w:p>
    <w:p w:rsidR="00B6380F" w:rsidRPr="00B6380F" w:rsidRDefault="00E71781" w:rsidP="009C6D6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nb-NO"/>
        </w:rPr>
      </w:pPr>
      <w:hyperlink r:id="rId8" w:history="1">
        <w:r w:rsidR="00B6380F" w:rsidRPr="00CA7C88">
          <w:rPr>
            <w:rFonts w:eastAsia="Times New Roman" w:cs="Times New Roman"/>
            <w:bCs/>
            <w:color w:val="000000" w:themeColor="text1"/>
            <w:szCs w:val="24"/>
            <w:u w:val="single"/>
            <w:lang w:eastAsia="nb-NO"/>
          </w:rPr>
          <w:t>Retningslinjer for bruk av oljepenger (handlingsregelen)</w:t>
        </w:r>
      </w:hyperlink>
      <w:r w:rsidR="00B6380F" w:rsidRPr="00B6380F">
        <w:rPr>
          <w:rFonts w:eastAsia="Times New Roman" w:cs="Times New Roman"/>
          <w:color w:val="000000" w:themeColor="text1"/>
          <w:szCs w:val="24"/>
          <w:u w:val="single"/>
          <w:lang w:eastAsia="nb-NO"/>
        </w:rPr>
        <w:br/>
      </w:r>
      <w:r w:rsidR="00B6380F" w:rsidRPr="00B6380F">
        <w:rPr>
          <w:rFonts w:eastAsia="Times New Roman" w:cs="Times New Roman"/>
          <w:color w:val="000000"/>
          <w:szCs w:val="24"/>
          <w:lang w:eastAsia="nb-NO"/>
        </w:rPr>
        <w:t>Med handlingsregelen legges det til rette for en bærekraftig forvaltning av petroleumsformuen slik at den også kommer framtidige generasjoner til gode.</w:t>
      </w:r>
    </w:p>
    <w:p w:rsidR="00B6380F" w:rsidRPr="00B6380F" w:rsidRDefault="00E71781" w:rsidP="009C6D6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nb-NO"/>
        </w:rPr>
      </w:pPr>
      <w:hyperlink r:id="rId9" w:history="1">
        <w:r w:rsidR="00B6380F" w:rsidRPr="00CA7C88">
          <w:rPr>
            <w:rFonts w:eastAsia="Times New Roman" w:cs="Times New Roman"/>
            <w:bCs/>
            <w:szCs w:val="24"/>
            <w:u w:val="single"/>
            <w:lang w:eastAsia="nb-NO"/>
          </w:rPr>
          <w:t>Det strukturelle, oljekorrigerte underskuddet</w:t>
        </w:r>
      </w:hyperlink>
      <w:r w:rsidR="00B6380F" w:rsidRPr="00B6380F">
        <w:rPr>
          <w:rFonts w:eastAsia="Times New Roman" w:cs="Times New Roman"/>
          <w:color w:val="000000"/>
          <w:szCs w:val="24"/>
          <w:lang w:eastAsia="nb-NO"/>
        </w:rPr>
        <w:br/>
        <w:t>Den underliggende bruken av oljeinntekter måles ved det strukturelle, oljekorrigerte underskuddet. Denne indikatoren må beregnes, og anslagene er gjenstand for revisjoner.</w:t>
      </w:r>
    </w:p>
    <w:p w:rsidR="00B6380F" w:rsidRDefault="00E71781" w:rsidP="009C6D6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nb-NO"/>
        </w:rPr>
      </w:pPr>
      <w:hyperlink r:id="rId10" w:history="1">
        <w:r w:rsidR="00B6380F" w:rsidRPr="00CA7C88">
          <w:rPr>
            <w:rFonts w:eastAsia="Times New Roman" w:cs="Times New Roman"/>
            <w:bCs/>
            <w:szCs w:val="24"/>
            <w:u w:val="single"/>
            <w:lang w:eastAsia="nb-NO"/>
          </w:rPr>
          <w:t>Hvor stor er oljeformuen?</w:t>
        </w:r>
      </w:hyperlink>
      <w:r w:rsidR="00B6380F" w:rsidRPr="00B6380F">
        <w:rPr>
          <w:rFonts w:eastAsia="Times New Roman" w:cs="Times New Roman"/>
          <w:color w:val="000000"/>
          <w:szCs w:val="24"/>
          <w:lang w:eastAsia="nb-NO"/>
        </w:rPr>
        <w:br/>
        <w:t>Petroleumsvirksomheten har spilt en viktig rolle i norsk økonomi de siste tiårene</w:t>
      </w:r>
      <w:r w:rsidR="00AB1D12" w:rsidRPr="00AB1D12">
        <w:rPr>
          <w:rFonts w:eastAsia="Times New Roman" w:cs="Times New Roman"/>
          <w:color w:val="000000"/>
          <w:szCs w:val="24"/>
          <w:lang w:eastAsia="nb-NO"/>
        </w:rPr>
        <w:t xml:space="preserve"> </w:t>
      </w:r>
      <w:r w:rsidR="00B6380F" w:rsidRPr="00B6380F">
        <w:rPr>
          <w:rFonts w:eastAsia="Times New Roman" w:cs="Times New Roman"/>
          <w:color w:val="000000"/>
          <w:szCs w:val="24"/>
          <w:lang w:eastAsia="nb-NO"/>
        </w:rPr>
        <w:t>og vil fortsette å være viktig i flere tiår fremover. I et langsiktig perspektiv har likevel petroleumsformuen begrenset betydning for velferden i Norge. Over tid er det særlig vekstevnen i fastlandsøkonomien som bestemmer velferdsutviklingen i Norge.</w:t>
      </w:r>
    </w:p>
    <w:p w:rsidR="00AB1D12" w:rsidRPr="00B6380F" w:rsidRDefault="00AB1D12" w:rsidP="00AB1D1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  <w:r>
        <w:rPr>
          <w:rFonts w:eastAsia="Times New Roman" w:cs="Times New Roman"/>
          <w:color w:val="000000"/>
          <w:szCs w:val="24"/>
          <w:lang w:eastAsia="nb-NO"/>
        </w:rPr>
        <w:t>[…]</w:t>
      </w:r>
    </w:p>
    <w:p w:rsidR="00B6380F" w:rsidRDefault="00E71781" w:rsidP="009C6D62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nb-NO"/>
        </w:rPr>
      </w:pPr>
      <w:hyperlink r:id="rId11" w:history="1">
        <w:r w:rsidR="00B6380F" w:rsidRPr="00CA7C88">
          <w:rPr>
            <w:rFonts w:eastAsia="Times New Roman" w:cs="Times New Roman"/>
            <w:bCs/>
            <w:szCs w:val="24"/>
            <w:u w:val="single"/>
            <w:lang w:eastAsia="nb-NO"/>
          </w:rPr>
          <w:t>Bruk av oljeinntekter i årene framover</w:t>
        </w:r>
      </w:hyperlink>
      <w:r w:rsidR="00B6380F" w:rsidRPr="00B6380F">
        <w:rPr>
          <w:rFonts w:eastAsia="Times New Roman" w:cs="Times New Roman"/>
          <w:color w:val="000000"/>
          <w:szCs w:val="24"/>
          <w:lang w:eastAsia="nb-NO"/>
        </w:rPr>
        <w:br/>
        <w:t>Handlingsregelen sikter mot at bruken av oljeinntekter over tid skal følge den forventede realavkastningen av Statens pensjonsfond utland (SPU). I St.meld. nr. 29 (2016-2017) Perspektivmeldingen 2017 varslet regjeringen at det fra nå av legges til grunn en f</w:t>
      </w:r>
      <w:r w:rsidR="00AB1D12">
        <w:rPr>
          <w:rFonts w:eastAsia="Times New Roman" w:cs="Times New Roman"/>
          <w:color w:val="000000"/>
          <w:szCs w:val="24"/>
          <w:lang w:eastAsia="nb-NO"/>
        </w:rPr>
        <w:t>orventet realavkastning på 3 prosent i SPU, mot tidligere 4 prosent.</w:t>
      </w:r>
      <w:r w:rsidR="00B6380F" w:rsidRPr="00B6380F">
        <w:rPr>
          <w:rFonts w:eastAsia="Times New Roman" w:cs="Times New Roman"/>
          <w:color w:val="000000"/>
          <w:szCs w:val="24"/>
          <w:lang w:eastAsia="nb-NO"/>
        </w:rPr>
        <w:t xml:space="preserve"> Retningslinjene er fleksible. Det skal legges vekt på å j</w:t>
      </w:r>
      <w:r w:rsidR="00080EDB">
        <w:rPr>
          <w:rFonts w:eastAsia="Times New Roman" w:cs="Times New Roman"/>
          <w:color w:val="000000"/>
          <w:szCs w:val="24"/>
          <w:lang w:eastAsia="nb-NO"/>
        </w:rPr>
        <w:t>evne ut svingninger i økonomien</w:t>
      </w:r>
      <w:r w:rsidR="00B6380F" w:rsidRPr="00B6380F">
        <w:rPr>
          <w:rFonts w:eastAsia="Times New Roman" w:cs="Times New Roman"/>
          <w:color w:val="000000"/>
          <w:szCs w:val="24"/>
          <w:lang w:eastAsia="nb-NO"/>
        </w:rPr>
        <w:t xml:space="preserve"> for å sikre god kapasitetsutnyttelse og lav arbeidsledighet.</w:t>
      </w:r>
    </w:p>
    <w:p w:rsidR="00AB1D12" w:rsidRPr="00B6380F" w:rsidRDefault="00AB1D12" w:rsidP="00AB1D12">
      <w:pPr>
        <w:spacing w:after="0" w:line="240" w:lineRule="auto"/>
        <w:rPr>
          <w:rFonts w:eastAsia="Times New Roman" w:cs="Times New Roman"/>
          <w:color w:val="000000"/>
          <w:szCs w:val="24"/>
          <w:lang w:eastAsia="nb-NO"/>
        </w:rPr>
      </w:pPr>
      <w:r>
        <w:rPr>
          <w:rFonts w:eastAsia="Times New Roman" w:cs="Times New Roman"/>
          <w:color w:val="000000"/>
          <w:szCs w:val="24"/>
          <w:lang w:eastAsia="nb-NO"/>
        </w:rPr>
        <w:t>[…]</w:t>
      </w:r>
    </w:p>
    <w:p w:rsidR="00CC7805" w:rsidRPr="009C6D62" w:rsidRDefault="00CC7805" w:rsidP="009C6D62">
      <w:pPr>
        <w:spacing w:after="0" w:line="240" w:lineRule="auto"/>
        <w:rPr>
          <w:rFonts w:cs="Times New Roman"/>
          <w:szCs w:val="24"/>
        </w:rPr>
      </w:pPr>
    </w:p>
    <w:sectPr w:rsidR="00CC7805" w:rsidRPr="009C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97" w:rsidRDefault="00950397" w:rsidP="00950397">
      <w:pPr>
        <w:spacing w:after="0" w:line="240" w:lineRule="auto"/>
      </w:pPr>
      <w:r>
        <w:separator/>
      </w:r>
    </w:p>
  </w:endnote>
  <w:endnote w:type="continuationSeparator" w:id="0">
    <w:p w:rsidR="00950397" w:rsidRDefault="00950397" w:rsidP="0095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97" w:rsidRDefault="00950397" w:rsidP="00950397">
      <w:pPr>
        <w:spacing w:after="0" w:line="240" w:lineRule="auto"/>
      </w:pPr>
      <w:r>
        <w:separator/>
      </w:r>
    </w:p>
  </w:footnote>
  <w:footnote w:type="continuationSeparator" w:id="0">
    <w:p w:rsidR="00950397" w:rsidRDefault="00950397" w:rsidP="0095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7595"/>
    <w:multiLevelType w:val="multilevel"/>
    <w:tmpl w:val="64C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F"/>
    <w:rsid w:val="00080EDB"/>
    <w:rsid w:val="00201F31"/>
    <w:rsid w:val="00234E94"/>
    <w:rsid w:val="002E6827"/>
    <w:rsid w:val="003F0336"/>
    <w:rsid w:val="00834F2A"/>
    <w:rsid w:val="00950397"/>
    <w:rsid w:val="00983CEE"/>
    <w:rsid w:val="009C6D62"/>
    <w:rsid w:val="00AB1D12"/>
    <w:rsid w:val="00B6380F"/>
    <w:rsid w:val="00B76227"/>
    <w:rsid w:val="00CA7C88"/>
    <w:rsid w:val="00CC7805"/>
    <w:rsid w:val="00E71781"/>
    <w:rsid w:val="00EB2F78"/>
    <w:rsid w:val="00EB4643"/>
    <w:rsid w:val="00E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FC01"/>
  <w15:chartTrackingRefBased/>
  <w15:docId w15:val="{AB37DA9F-BE00-4D06-A459-000133C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80F"/>
    <w:pPr>
      <w:spacing w:before="161" w:after="16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0F"/>
    <w:rPr>
      <w:rFonts w:eastAsia="Times New Roman" w:cs="Times New Roman"/>
      <w:b/>
      <w:bCs/>
      <w:kern w:val="36"/>
      <w:sz w:val="48"/>
      <w:szCs w:val="48"/>
      <w:lang w:eastAsia="nb-NO"/>
    </w:rPr>
  </w:style>
  <w:style w:type="character" w:styleId="Hyperlink">
    <w:name w:val="Hyperlink"/>
    <w:basedOn w:val="DefaultParagraphFont"/>
    <w:uiPriority w:val="99"/>
    <w:unhideWhenUsed/>
    <w:rsid w:val="00B6380F"/>
    <w:rPr>
      <w:color w:val="3867C8"/>
      <w:u w:val="single"/>
    </w:rPr>
  </w:style>
  <w:style w:type="character" w:styleId="Strong">
    <w:name w:val="Strong"/>
    <w:basedOn w:val="DefaultParagraphFont"/>
    <w:uiPriority w:val="22"/>
    <w:qFormat/>
    <w:rsid w:val="00B638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380F"/>
    <w:pPr>
      <w:spacing w:before="240" w:after="240" w:line="240" w:lineRule="auto"/>
    </w:pPr>
    <w:rPr>
      <w:rFonts w:eastAsia="Times New Roman" w:cs="Times New Roman"/>
      <w:szCs w:val="24"/>
      <w:lang w:eastAsia="nb-NO"/>
    </w:rPr>
  </w:style>
  <w:style w:type="character" w:customStyle="1" w:styleId="type">
    <w:name w:val="type"/>
    <w:basedOn w:val="DefaultParagraphFont"/>
    <w:rsid w:val="00B6380F"/>
  </w:style>
  <w:style w:type="character" w:customStyle="1" w:styleId="date6">
    <w:name w:val="date6"/>
    <w:basedOn w:val="DefaultParagraphFont"/>
    <w:rsid w:val="00B6380F"/>
  </w:style>
  <w:style w:type="character" w:customStyle="1" w:styleId="owner">
    <w:name w:val="owner"/>
    <w:basedOn w:val="DefaultParagraphFont"/>
    <w:rsid w:val="00B6380F"/>
  </w:style>
  <w:style w:type="paragraph" w:styleId="Header">
    <w:name w:val="header"/>
    <w:basedOn w:val="Normal"/>
    <w:link w:val="HeaderChar"/>
    <w:uiPriority w:val="99"/>
    <w:unhideWhenUsed/>
    <w:rsid w:val="0095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97"/>
  </w:style>
  <w:style w:type="paragraph" w:styleId="Footer">
    <w:name w:val="footer"/>
    <w:basedOn w:val="Normal"/>
    <w:link w:val="FooterChar"/>
    <w:uiPriority w:val="99"/>
    <w:unhideWhenUsed/>
    <w:rsid w:val="0095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tema/okonomi-og-budsjett/norsk_okonomi/bruk-av-oljepenger-/retningslinjer-for-bruk-av-oljepenger-ha/id4504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tema/okonomi-og-budsjett/norsk_okonomi/bruk-av-oljepenger-/hvorfor-ikke-bruke-mer-oljepenger/id48490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jeringen.no/no/tema/okonomi-og-budsjett/norsk_okonomi/bruk-av-oljepenger-/bruk-av-oljeinntekter-i-arene-framover/id45047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gjeringen.no/no/tema/okonomi-og-budsjett/norsk_okonomi/bruk-av-oljepenger-/hvor-stor-er-oljeformuen/id4849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tema/okonomi-og-budsjett/norsk_okonomi/bruk-av-oljepenger-/det-strukturelle-oljekorrigerte-undersku-2/id6310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NN1</dc:creator>
  <cp:keywords/>
  <dc:description/>
  <cp:lastModifiedBy>Bjørnulf Hinderaker</cp:lastModifiedBy>
  <cp:revision>3</cp:revision>
  <cp:lastPrinted>2018-02-06T10:30:00Z</cp:lastPrinted>
  <dcterms:created xsi:type="dcterms:W3CDTF">2018-04-12T11:56:00Z</dcterms:created>
  <dcterms:modified xsi:type="dcterms:W3CDTF">2018-04-17T10:37:00Z</dcterms:modified>
</cp:coreProperties>
</file>